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5DEE" w14:textId="77777777" w:rsidR="00B928BD" w:rsidRPr="00DB69AE" w:rsidRDefault="00357C7A" w:rsidP="00DB69AE">
      <w:pPr>
        <w:spacing w:line="360" w:lineRule="auto"/>
        <w:ind w:left="103"/>
        <w:rPr>
          <w:rFonts w:ascii="Book Antiqua" w:eastAsia="Book Antiqua" w:hAnsi="Book Antiqua" w:cs="Book Antiqua"/>
          <w:bCs/>
          <w:lang w:val="en-US"/>
        </w:rPr>
      </w:pPr>
      <w:r>
        <w:rPr>
          <w:rFonts w:ascii="Book Antiqua" w:eastAsia="Book Antiqua" w:hAnsi="Book Antiqua" w:cs="Book Antiqua"/>
          <w:bCs/>
          <w:lang w:val="en-US"/>
        </w:rPr>
      </w:r>
      <w:r>
        <w:rPr>
          <w:rFonts w:ascii="Book Antiqua" w:eastAsia="Book Antiqua" w:hAnsi="Book Antiqua" w:cs="Book Antiqua"/>
          <w:bCs/>
          <w:lang w:val="en-US"/>
        </w:rPr>
        <w:pict w14:anchorId="2EA9DBF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7.8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style="mso-next-textbox:#_x0000_s1026" inset="0,0,0,0">
              <w:txbxContent>
                <w:p w14:paraId="4567F79B" w14:textId="51377E0F" w:rsidR="00B928BD" w:rsidRDefault="00B928BD" w:rsidP="00B928BD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OTORH</w:t>
                  </w:r>
                  <w:r w:rsidR="00F1794B">
                    <w:t>I</w:t>
                  </w:r>
                  <w:r>
                    <w:t xml:space="preserve">NOLARYNGOLOGY </w:t>
                  </w:r>
                </w:p>
                <w:p w14:paraId="4092D897" w14:textId="24E40465" w:rsidR="00B928BD" w:rsidRDefault="00B928BD" w:rsidP="00B928BD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(PHASE 6)</w:t>
                  </w:r>
                </w:p>
              </w:txbxContent>
            </v:textbox>
            <w10:anchorlock/>
          </v:shape>
        </w:pict>
      </w:r>
    </w:p>
    <w:p w14:paraId="6EC270E3" w14:textId="77777777" w:rsidR="00B928BD" w:rsidRPr="00DB69AE" w:rsidRDefault="00B928BD" w:rsidP="00DB69AE">
      <w:pPr>
        <w:spacing w:line="360" w:lineRule="auto"/>
        <w:rPr>
          <w:rFonts w:ascii="Book Antiqua" w:hAnsi="Book Antiqua"/>
          <w:lang w:val="en-US"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272"/>
      </w:tblGrid>
      <w:tr w:rsidR="00B928BD" w:rsidRPr="00DB69AE" w14:paraId="19FC6A13" w14:textId="77777777" w:rsidTr="00AE08EF">
        <w:trPr>
          <w:trHeight w:val="360"/>
        </w:trPr>
        <w:tc>
          <w:tcPr>
            <w:tcW w:w="9944" w:type="dxa"/>
            <w:gridSpan w:val="2"/>
            <w:shd w:val="clear" w:color="auto" w:fill="93B3D5"/>
          </w:tcPr>
          <w:p w14:paraId="09945137" w14:textId="03778018" w:rsidR="00B928BD" w:rsidRPr="00DB69AE" w:rsidRDefault="00C8760F" w:rsidP="00DB69AE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LEARNING AIM(S)</w:t>
            </w:r>
          </w:p>
        </w:tc>
      </w:tr>
      <w:tr w:rsidR="00B928BD" w:rsidRPr="00DB69AE" w14:paraId="578A0B50" w14:textId="77777777" w:rsidTr="001624B3">
        <w:trPr>
          <w:trHeight w:val="1660"/>
        </w:trPr>
        <w:tc>
          <w:tcPr>
            <w:tcW w:w="672" w:type="dxa"/>
          </w:tcPr>
          <w:p w14:paraId="037E0C22" w14:textId="77777777" w:rsidR="00B928BD" w:rsidRPr="00DB69AE" w:rsidRDefault="00B928BD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1</w:t>
            </w:r>
          </w:p>
        </w:tc>
        <w:tc>
          <w:tcPr>
            <w:tcW w:w="9272" w:type="dxa"/>
          </w:tcPr>
          <w:p w14:paraId="15A434CB" w14:textId="4E907BA7" w:rsidR="001624B3" w:rsidRPr="00DB69AE" w:rsidRDefault="001624B3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1624B3">
              <w:rPr>
                <w:rFonts w:ascii="Book Antiqua" w:hAnsi="Book Antiqua"/>
                <w:lang w:val="en-US"/>
              </w:rPr>
              <w:t xml:space="preserve">In this </w:t>
            </w:r>
            <w:r>
              <w:rPr>
                <w:rFonts w:ascii="Book Antiqua" w:hAnsi="Book Antiqua"/>
                <w:lang w:val="en-US"/>
              </w:rPr>
              <w:t>course</w:t>
            </w:r>
            <w:r w:rsidRPr="001624B3">
              <w:rPr>
                <w:rFonts w:ascii="Book Antiqua" w:hAnsi="Book Antiqua"/>
                <w:lang w:val="en-US"/>
              </w:rPr>
              <w:t>, it is aimed that students can evaluate the signs and symptoms of common diseases in the head and neck region, diagnose these diseases in primary care conditions, create / implement / monitor a treatment plan, make emergency intervention when necessary or provide referral to an otorhinolaryngologist</w:t>
            </w:r>
            <w:r>
              <w:rPr>
                <w:rFonts w:ascii="Book Antiqua" w:hAnsi="Book Antiqua"/>
                <w:lang w:val="en-US"/>
              </w:rPr>
              <w:t>.</w:t>
            </w:r>
          </w:p>
        </w:tc>
      </w:tr>
    </w:tbl>
    <w:p w14:paraId="65E0E569" w14:textId="77777777" w:rsidR="00B928BD" w:rsidRPr="00DB69AE" w:rsidRDefault="00B928BD" w:rsidP="00DB69AE">
      <w:pPr>
        <w:spacing w:line="360" w:lineRule="auto"/>
        <w:rPr>
          <w:rFonts w:ascii="Book Antiqua" w:hAnsi="Book Antiqua"/>
          <w:b/>
          <w:lang w:val="en-US"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272"/>
      </w:tblGrid>
      <w:tr w:rsidR="00B928BD" w:rsidRPr="00DB69AE" w14:paraId="46C7BB16" w14:textId="77777777" w:rsidTr="00AE08EF">
        <w:trPr>
          <w:trHeight w:val="450"/>
        </w:trPr>
        <w:tc>
          <w:tcPr>
            <w:tcW w:w="9944" w:type="dxa"/>
            <w:gridSpan w:val="2"/>
            <w:shd w:val="clear" w:color="auto" w:fill="93B3D5"/>
          </w:tcPr>
          <w:p w14:paraId="1690A99D" w14:textId="0DFBFEEE" w:rsidR="00B928BD" w:rsidRPr="00DB69AE" w:rsidRDefault="0017713A" w:rsidP="00DB69AE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LEARNING OBJECTIVE(S)</w:t>
            </w:r>
          </w:p>
        </w:tc>
      </w:tr>
      <w:tr w:rsidR="00B928BD" w:rsidRPr="00DB69AE" w14:paraId="075DFBDB" w14:textId="77777777" w:rsidTr="00AE08EF">
        <w:trPr>
          <w:trHeight w:val="728"/>
        </w:trPr>
        <w:tc>
          <w:tcPr>
            <w:tcW w:w="672" w:type="dxa"/>
          </w:tcPr>
          <w:p w14:paraId="776106AB" w14:textId="77777777" w:rsidR="00B928BD" w:rsidRPr="00DB69AE" w:rsidRDefault="00B928BD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1</w:t>
            </w:r>
          </w:p>
        </w:tc>
        <w:tc>
          <w:tcPr>
            <w:tcW w:w="9272" w:type="dxa"/>
          </w:tcPr>
          <w:p w14:paraId="6049B97E" w14:textId="5464C840" w:rsidR="002911D1" w:rsidRPr="00DB69AE" w:rsidRDefault="002911D1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 xml:space="preserve">To be able to diagnose otitis media types, to be able to decide on treatment, to be able </w:t>
            </w:r>
            <w:r w:rsidR="001650A8" w:rsidRPr="00DB69AE">
              <w:rPr>
                <w:rFonts w:ascii="Book Antiqua" w:hAnsi="Book Antiqua"/>
                <w:lang w:val="en-US"/>
              </w:rPr>
              <w:t>to recognize</w:t>
            </w:r>
            <w:r w:rsidRPr="00DB69AE">
              <w:rPr>
                <w:rFonts w:ascii="Book Antiqua" w:hAnsi="Book Antiqua"/>
                <w:lang w:val="en-US"/>
              </w:rPr>
              <w:t xml:space="preserve"> otitis media complications and to be able to refer to a specialist when necessary.</w:t>
            </w:r>
          </w:p>
        </w:tc>
      </w:tr>
      <w:tr w:rsidR="00B928BD" w:rsidRPr="00DB69AE" w14:paraId="7B1B9514" w14:textId="77777777" w:rsidTr="00AE08EF">
        <w:trPr>
          <w:trHeight w:val="1122"/>
        </w:trPr>
        <w:tc>
          <w:tcPr>
            <w:tcW w:w="672" w:type="dxa"/>
          </w:tcPr>
          <w:p w14:paraId="3B93B54F" w14:textId="77777777" w:rsidR="00B928BD" w:rsidRPr="00DB69AE" w:rsidRDefault="00B928BD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2</w:t>
            </w:r>
          </w:p>
        </w:tc>
        <w:tc>
          <w:tcPr>
            <w:tcW w:w="9272" w:type="dxa"/>
          </w:tcPr>
          <w:p w14:paraId="2C9F6CBF" w14:textId="1FAD7E2A" w:rsidR="0057358D" w:rsidRPr="00DB69AE" w:rsidRDefault="0057358D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To be able to diagnose acute upper respiratory tract infections (rhinosinusitis, acute otitis, tonsillitis, epiglottitis, etc.), to be able to give the treatment (prescribing), to</w:t>
            </w:r>
            <w:r w:rsidR="00432824" w:rsidRPr="00DB69AE">
              <w:rPr>
                <w:rFonts w:ascii="Book Antiqua" w:hAnsi="Book Antiqua"/>
                <w:lang w:val="en-US"/>
              </w:rPr>
              <w:t xml:space="preserve"> be able to</w:t>
            </w:r>
            <w:r w:rsidRPr="00DB69AE">
              <w:rPr>
                <w:rFonts w:ascii="Book Antiqua" w:hAnsi="Book Antiqua"/>
                <w:lang w:val="en-US"/>
              </w:rPr>
              <w:t xml:space="preserve"> recognize the complications (deep neck infections –retropharyngeal / peritonsillar abscess) and to </w:t>
            </w:r>
            <w:r w:rsidR="00432824" w:rsidRPr="00DB69AE">
              <w:rPr>
                <w:rFonts w:ascii="Book Antiqua" w:hAnsi="Book Antiqua"/>
                <w:lang w:val="en-US"/>
              </w:rPr>
              <w:t xml:space="preserve">be to </w:t>
            </w:r>
            <w:r w:rsidRPr="00DB69AE">
              <w:rPr>
                <w:rFonts w:ascii="Book Antiqua" w:hAnsi="Book Antiqua"/>
                <w:lang w:val="en-US"/>
              </w:rPr>
              <w:t>refer to the specialist when necessary</w:t>
            </w:r>
            <w:r w:rsidR="00C204D0">
              <w:rPr>
                <w:rFonts w:ascii="Book Antiqua" w:hAnsi="Book Antiqua"/>
                <w:lang w:val="en-US"/>
              </w:rPr>
              <w:t>.</w:t>
            </w:r>
          </w:p>
        </w:tc>
      </w:tr>
      <w:tr w:rsidR="00B928BD" w:rsidRPr="00DB69AE" w14:paraId="733B8EB0" w14:textId="77777777" w:rsidTr="00AE08EF">
        <w:trPr>
          <w:trHeight w:val="840"/>
        </w:trPr>
        <w:tc>
          <w:tcPr>
            <w:tcW w:w="672" w:type="dxa"/>
          </w:tcPr>
          <w:p w14:paraId="6C331B38" w14:textId="77777777" w:rsidR="00B928BD" w:rsidRPr="00DB69AE" w:rsidRDefault="00B928BD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3</w:t>
            </w:r>
          </w:p>
        </w:tc>
        <w:tc>
          <w:tcPr>
            <w:tcW w:w="9272" w:type="dxa"/>
          </w:tcPr>
          <w:p w14:paraId="7FA83664" w14:textId="173A5262" w:rsidR="00E478D2" w:rsidRPr="00DB69AE" w:rsidRDefault="00E478D2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To be able to evaluate situations causing nasal obstruction (nasal obstruction) / discharge, to be able to distinguish primary (allergic, infective, mechanical) and secondary (</w:t>
            </w:r>
            <w:proofErr w:type="spellStart"/>
            <w:r w:rsidRPr="00DB69AE">
              <w:rPr>
                <w:rFonts w:ascii="Book Antiqua" w:hAnsi="Book Antiqua"/>
                <w:lang w:val="en-US"/>
              </w:rPr>
              <w:t>adrenoid</w:t>
            </w:r>
            <w:proofErr w:type="spellEnd"/>
            <w:r w:rsidRPr="00DB69AE">
              <w:rPr>
                <w:rFonts w:ascii="Book Antiqua" w:hAnsi="Book Antiqua"/>
                <w:lang w:val="en-US"/>
              </w:rPr>
              <w:t>) causes in differential diagnosis, to be able to explain medical and surgical treatment options according to etiology.</w:t>
            </w:r>
          </w:p>
        </w:tc>
      </w:tr>
      <w:tr w:rsidR="00B928BD" w:rsidRPr="00DB69AE" w14:paraId="4A5949FB" w14:textId="77777777" w:rsidTr="00AE08EF">
        <w:trPr>
          <w:trHeight w:val="554"/>
        </w:trPr>
        <w:tc>
          <w:tcPr>
            <w:tcW w:w="672" w:type="dxa"/>
          </w:tcPr>
          <w:p w14:paraId="4EDDF996" w14:textId="77777777" w:rsidR="00B928BD" w:rsidRPr="00DB69AE" w:rsidRDefault="00B928BD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4</w:t>
            </w:r>
          </w:p>
        </w:tc>
        <w:tc>
          <w:tcPr>
            <w:tcW w:w="9272" w:type="dxa"/>
          </w:tcPr>
          <w:p w14:paraId="34BCCEE0" w14:textId="699FFC83" w:rsidR="00EC1C96" w:rsidRPr="00DB69AE" w:rsidRDefault="00EC1C96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To be able to count the etiology of hearing loss, to be able to make differential diagnosis of related diseases and to be able to direct them to a specialist by making emergency intervention when necessary.</w:t>
            </w:r>
          </w:p>
        </w:tc>
      </w:tr>
      <w:tr w:rsidR="003252E0" w:rsidRPr="00DB69AE" w14:paraId="5B142166" w14:textId="77777777" w:rsidTr="00AE08EF">
        <w:trPr>
          <w:trHeight w:val="420"/>
        </w:trPr>
        <w:tc>
          <w:tcPr>
            <w:tcW w:w="672" w:type="dxa"/>
          </w:tcPr>
          <w:p w14:paraId="5E77FD85" w14:textId="77777777" w:rsidR="003252E0" w:rsidRPr="00DB69AE" w:rsidRDefault="003252E0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5</w:t>
            </w:r>
          </w:p>
        </w:tc>
        <w:tc>
          <w:tcPr>
            <w:tcW w:w="9272" w:type="dxa"/>
          </w:tcPr>
          <w:p w14:paraId="3C45C144" w14:textId="5A440391" w:rsidR="003252E0" w:rsidRPr="00DB69AE" w:rsidRDefault="003252E0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To be able to explain the etiological factors of nose</w:t>
            </w:r>
            <w:r w:rsidR="00792E80" w:rsidRPr="00DB69AE">
              <w:rPr>
                <w:rFonts w:ascii="Book Antiqua" w:hAnsi="Book Antiqua"/>
                <w:lang w:val="en-US"/>
              </w:rPr>
              <w:t xml:space="preserve"> </w:t>
            </w:r>
            <w:r w:rsidRPr="00DB69AE">
              <w:rPr>
                <w:rFonts w:ascii="Book Antiqua" w:hAnsi="Book Antiqua"/>
                <w:lang w:val="en-US"/>
              </w:rPr>
              <w:t>bleed</w:t>
            </w:r>
            <w:r w:rsidR="00792E80" w:rsidRPr="00DB69AE">
              <w:rPr>
                <w:rFonts w:ascii="Book Antiqua" w:hAnsi="Book Antiqua"/>
                <w:lang w:val="en-US"/>
              </w:rPr>
              <w:t>ing</w:t>
            </w:r>
            <w:r w:rsidRPr="00DB69AE">
              <w:rPr>
                <w:rFonts w:ascii="Book Antiqua" w:hAnsi="Book Antiqua"/>
                <w:lang w:val="en-US"/>
              </w:rPr>
              <w:t xml:space="preserve"> and </w:t>
            </w:r>
            <w:r w:rsidR="00792E80" w:rsidRPr="00DB69AE">
              <w:rPr>
                <w:rFonts w:ascii="Book Antiqua" w:hAnsi="Book Antiqua"/>
                <w:lang w:val="en-US"/>
              </w:rPr>
              <w:t xml:space="preserve">to be able to </w:t>
            </w:r>
            <w:r w:rsidRPr="00DB69AE">
              <w:rPr>
                <w:rFonts w:ascii="Book Antiqua" w:hAnsi="Book Antiqua"/>
                <w:lang w:val="en-US"/>
              </w:rPr>
              <w:t>make the differential diagnosis.</w:t>
            </w:r>
          </w:p>
        </w:tc>
      </w:tr>
      <w:tr w:rsidR="003252E0" w:rsidRPr="00DB69AE" w14:paraId="6995E8B0" w14:textId="77777777" w:rsidTr="00AE08EF">
        <w:trPr>
          <w:trHeight w:val="482"/>
        </w:trPr>
        <w:tc>
          <w:tcPr>
            <w:tcW w:w="672" w:type="dxa"/>
          </w:tcPr>
          <w:p w14:paraId="2E521BC6" w14:textId="77777777" w:rsidR="003252E0" w:rsidRPr="00DB69AE" w:rsidRDefault="003252E0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6</w:t>
            </w:r>
          </w:p>
        </w:tc>
        <w:tc>
          <w:tcPr>
            <w:tcW w:w="9272" w:type="dxa"/>
          </w:tcPr>
          <w:p w14:paraId="1F004CFA" w14:textId="5DCDE660" w:rsidR="003252E0" w:rsidRPr="00DB69AE" w:rsidRDefault="003252E0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To be able to put front nose bumper</w:t>
            </w:r>
            <w:r w:rsidR="00C204D0">
              <w:rPr>
                <w:rFonts w:ascii="Book Antiqua" w:hAnsi="Book Antiqua"/>
                <w:lang w:val="en-US"/>
              </w:rPr>
              <w:t>.</w:t>
            </w:r>
          </w:p>
        </w:tc>
      </w:tr>
      <w:tr w:rsidR="00B928BD" w:rsidRPr="00DB69AE" w14:paraId="537D4827" w14:textId="77777777" w:rsidTr="00AE08EF">
        <w:trPr>
          <w:trHeight w:val="551"/>
        </w:trPr>
        <w:tc>
          <w:tcPr>
            <w:tcW w:w="672" w:type="dxa"/>
          </w:tcPr>
          <w:p w14:paraId="370C87EC" w14:textId="77777777" w:rsidR="00B928BD" w:rsidRPr="00DB69AE" w:rsidRDefault="00B928BD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7</w:t>
            </w:r>
          </w:p>
        </w:tc>
        <w:tc>
          <w:tcPr>
            <w:tcW w:w="9272" w:type="dxa"/>
          </w:tcPr>
          <w:p w14:paraId="76C7365B" w14:textId="7C1CED3A" w:rsidR="007F0FF5" w:rsidRPr="00DB69AE" w:rsidRDefault="007F0FF5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To be able to ma</w:t>
            </w:r>
            <w:r w:rsidR="00B211CF" w:rsidRPr="00DB69AE">
              <w:rPr>
                <w:rFonts w:ascii="Book Antiqua" w:hAnsi="Book Antiqua"/>
                <w:lang w:val="en-US"/>
              </w:rPr>
              <w:t>k</w:t>
            </w:r>
            <w:r w:rsidRPr="00DB69AE">
              <w:rPr>
                <w:rFonts w:ascii="Book Antiqua" w:hAnsi="Book Antiqua"/>
                <w:lang w:val="en-US"/>
              </w:rPr>
              <w:t xml:space="preserve">e the differential diagnosis of ear pain, to be able to count the causes of referred pain, to be able to </w:t>
            </w:r>
            <w:r w:rsidR="00C0563B" w:rsidRPr="00DB69AE">
              <w:rPr>
                <w:rFonts w:ascii="Book Antiqua" w:hAnsi="Book Antiqua"/>
                <w:lang w:val="en-US"/>
              </w:rPr>
              <w:t xml:space="preserve">explain the approach to </w:t>
            </w:r>
            <w:r w:rsidR="00B211CF" w:rsidRPr="00DB69AE">
              <w:rPr>
                <w:rFonts w:ascii="Book Antiqua" w:hAnsi="Book Antiqua"/>
                <w:lang w:val="en-US"/>
              </w:rPr>
              <w:t>/</w:t>
            </w:r>
            <w:r w:rsidRPr="00DB69AE">
              <w:rPr>
                <w:rFonts w:ascii="Book Antiqua" w:hAnsi="Book Antiqua"/>
                <w:lang w:val="en-US"/>
              </w:rPr>
              <w:t xml:space="preserve"> </w:t>
            </w:r>
            <w:r w:rsidR="00C0563B" w:rsidRPr="00DB69AE">
              <w:rPr>
                <w:rFonts w:ascii="Book Antiqua" w:hAnsi="Book Antiqua"/>
                <w:lang w:val="en-US"/>
              </w:rPr>
              <w:t xml:space="preserve">diagnose </w:t>
            </w:r>
            <w:r w:rsidRPr="00DB69AE">
              <w:rPr>
                <w:rFonts w:ascii="Book Antiqua" w:hAnsi="Book Antiqua"/>
                <w:lang w:val="en-US"/>
              </w:rPr>
              <w:t xml:space="preserve">the patient presenting with the symptom of ear pain, </w:t>
            </w:r>
            <w:r w:rsidR="00E9466C" w:rsidRPr="00DB69AE">
              <w:rPr>
                <w:rFonts w:ascii="Book Antiqua" w:hAnsi="Book Antiqua"/>
                <w:lang w:val="en-US"/>
              </w:rPr>
              <w:t xml:space="preserve">to be able to </w:t>
            </w:r>
            <w:r w:rsidRPr="00DB69AE">
              <w:rPr>
                <w:rFonts w:ascii="Book Antiqua" w:hAnsi="Book Antiqua"/>
                <w:lang w:val="en-US"/>
              </w:rPr>
              <w:t>mak</w:t>
            </w:r>
            <w:r w:rsidR="00E9466C" w:rsidRPr="00DB69AE">
              <w:rPr>
                <w:rFonts w:ascii="Book Antiqua" w:hAnsi="Book Antiqua"/>
                <w:lang w:val="en-US"/>
              </w:rPr>
              <w:t>e</w:t>
            </w:r>
            <w:r w:rsidRPr="00DB69AE">
              <w:rPr>
                <w:rFonts w:ascii="Book Antiqua" w:hAnsi="Book Antiqua"/>
                <w:lang w:val="en-US"/>
              </w:rPr>
              <w:t xml:space="preserve"> the treatment and </w:t>
            </w:r>
            <w:r w:rsidR="00E9466C" w:rsidRPr="00DB69AE">
              <w:rPr>
                <w:rFonts w:ascii="Book Antiqua" w:hAnsi="Book Antiqua"/>
                <w:lang w:val="en-US"/>
              </w:rPr>
              <w:t xml:space="preserve">to be able to </w:t>
            </w:r>
            <w:r w:rsidRPr="00DB69AE">
              <w:rPr>
                <w:rFonts w:ascii="Book Antiqua" w:hAnsi="Book Antiqua"/>
                <w:lang w:val="en-US"/>
              </w:rPr>
              <w:t xml:space="preserve">refer </w:t>
            </w:r>
            <w:r w:rsidR="0029326B" w:rsidRPr="00DB69AE">
              <w:rPr>
                <w:rFonts w:ascii="Book Antiqua" w:hAnsi="Book Antiqua"/>
                <w:lang w:val="en-US"/>
              </w:rPr>
              <w:t>the patient</w:t>
            </w:r>
            <w:r w:rsidRPr="00DB69AE">
              <w:rPr>
                <w:rFonts w:ascii="Book Antiqua" w:hAnsi="Book Antiqua"/>
                <w:lang w:val="en-US"/>
              </w:rPr>
              <w:t xml:space="preserve"> to the specialist physician after the emergency intervention when necessary.</w:t>
            </w:r>
          </w:p>
        </w:tc>
      </w:tr>
      <w:tr w:rsidR="00B928BD" w:rsidRPr="00DB69AE" w14:paraId="5E881674" w14:textId="77777777" w:rsidTr="00357C7A">
        <w:trPr>
          <w:trHeight w:val="416"/>
        </w:trPr>
        <w:tc>
          <w:tcPr>
            <w:tcW w:w="672" w:type="dxa"/>
          </w:tcPr>
          <w:p w14:paraId="0845ED31" w14:textId="77777777" w:rsidR="00B928BD" w:rsidRPr="00DB69AE" w:rsidRDefault="00B928BD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8</w:t>
            </w:r>
          </w:p>
        </w:tc>
        <w:tc>
          <w:tcPr>
            <w:tcW w:w="9272" w:type="dxa"/>
          </w:tcPr>
          <w:p w14:paraId="7DA92F4A" w14:textId="3F0BD7E7" w:rsidR="0030240E" w:rsidRPr="00DB69AE" w:rsidRDefault="0030240E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To be able to make the differential diagnosis of the patient who applied with the complaint of sore throat, to be abl</w:t>
            </w:r>
            <w:r w:rsidR="001650A8" w:rsidRPr="00DB69AE">
              <w:rPr>
                <w:rFonts w:ascii="Book Antiqua" w:hAnsi="Book Antiqua"/>
                <w:lang w:val="en-US"/>
              </w:rPr>
              <w:t>e</w:t>
            </w:r>
            <w:r w:rsidRPr="00DB69AE">
              <w:rPr>
                <w:rFonts w:ascii="Book Antiqua" w:hAnsi="Book Antiqua"/>
                <w:lang w:val="en-US"/>
              </w:rPr>
              <w:t xml:space="preserve"> to make the treatment when necessary, and to</w:t>
            </w:r>
            <w:r w:rsidR="0029326B" w:rsidRPr="00DB69AE">
              <w:rPr>
                <w:rFonts w:ascii="Book Antiqua" w:hAnsi="Book Antiqua"/>
                <w:lang w:val="en-US"/>
              </w:rPr>
              <w:t xml:space="preserve"> be able to</w:t>
            </w:r>
            <w:r w:rsidRPr="00DB69AE">
              <w:rPr>
                <w:rFonts w:ascii="Book Antiqua" w:hAnsi="Book Antiqua"/>
                <w:lang w:val="en-US"/>
              </w:rPr>
              <w:t xml:space="preserve"> refer </w:t>
            </w:r>
            <w:r w:rsidR="0029326B" w:rsidRPr="00DB69AE">
              <w:rPr>
                <w:rFonts w:ascii="Book Antiqua" w:hAnsi="Book Antiqua"/>
                <w:lang w:val="en-US"/>
              </w:rPr>
              <w:t>the patient</w:t>
            </w:r>
            <w:r w:rsidRPr="00DB69AE">
              <w:rPr>
                <w:rFonts w:ascii="Book Antiqua" w:hAnsi="Book Antiqua"/>
                <w:lang w:val="en-US"/>
              </w:rPr>
              <w:t xml:space="preserve"> </w:t>
            </w:r>
            <w:r w:rsidRPr="00DB69AE">
              <w:rPr>
                <w:rFonts w:ascii="Book Antiqua" w:hAnsi="Book Antiqua"/>
                <w:lang w:val="en-US"/>
              </w:rPr>
              <w:lastRenderedPageBreak/>
              <w:t>to the specialist when necessary</w:t>
            </w:r>
            <w:r w:rsidR="00C204D0">
              <w:rPr>
                <w:rFonts w:ascii="Book Antiqua" w:hAnsi="Book Antiqua"/>
                <w:lang w:val="en-US"/>
              </w:rPr>
              <w:t>.</w:t>
            </w:r>
          </w:p>
        </w:tc>
      </w:tr>
      <w:tr w:rsidR="00B928BD" w:rsidRPr="00DB69AE" w14:paraId="560592CB" w14:textId="77777777" w:rsidTr="00AE08EF">
        <w:trPr>
          <w:trHeight w:val="845"/>
        </w:trPr>
        <w:tc>
          <w:tcPr>
            <w:tcW w:w="672" w:type="dxa"/>
          </w:tcPr>
          <w:p w14:paraId="25D241A0" w14:textId="77777777" w:rsidR="00B928BD" w:rsidRPr="00DB69AE" w:rsidRDefault="00B928BD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lastRenderedPageBreak/>
              <w:t>9</w:t>
            </w:r>
          </w:p>
        </w:tc>
        <w:tc>
          <w:tcPr>
            <w:tcW w:w="9272" w:type="dxa"/>
          </w:tcPr>
          <w:p w14:paraId="0E2C56AB" w14:textId="49CF9697" w:rsidR="00B300AF" w:rsidRPr="00DB69AE" w:rsidRDefault="00B300AF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To be able to evaluate of the patient presenting with upper respiratory tract obstruction and related breathing difficulties</w:t>
            </w:r>
            <w:r w:rsidRPr="00DB69AE">
              <w:rPr>
                <w:rFonts w:ascii="Times New Roman" w:hAnsi="Times New Roman" w:cs="Times New Roman"/>
                <w:lang w:val="en-US"/>
              </w:rPr>
              <w:t>̈</w:t>
            </w:r>
            <w:r w:rsidRPr="00DB69AE">
              <w:rPr>
                <w:rFonts w:ascii="Book Antiqua" w:hAnsi="Book Antiqua"/>
                <w:lang w:val="en-US"/>
              </w:rPr>
              <w:t xml:space="preserve"> in emergency and elective conditions.</w:t>
            </w:r>
          </w:p>
        </w:tc>
      </w:tr>
      <w:tr w:rsidR="00EA0CE7" w:rsidRPr="00DB69AE" w14:paraId="3FE89ED5" w14:textId="77777777" w:rsidTr="00AE08EF">
        <w:trPr>
          <w:trHeight w:val="404"/>
        </w:trPr>
        <w:tc>
          <w:tcPr>
            <w:tcW w:w="672" w:type="dxa"/>
          </w:tcPr>
          <w:p w14:paraId="2EDD6A30" w14:textId="77777777" w:rsidR="00EA0CE7" w:rsidRPr="00DB69AE" w:rsidRDefault="00EA0CE7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10</w:t>
            </w:r>
          </w:p>
        </w:tc>
        <w:tc>
          <w:tcPr>
            <w:tcW w:w="9272" w:type="dxa"/>
          </w:tcPr>
          <w:p w14:paraId="7F3F7140" w14:textId="44668964" w:rsidR="00EA0CE7" w:rsidRPr="00DB69AE" w:rsidRDefault="00EA0CE7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To be able to explain tracheotomy and its indications</w:t>
            </w:r>
            <w:r w:rsidR="00C204D0">
              <w:rPr>
                <w:rFonts w:ascii="Book Antiqua" w:hAnsi="Book Antiqua"/>
                <w:lang w:val="en-US"/>
              </w:rPr>
              <w:t>.</w:t>
            </w:r>
          </w:p>
        </w:tc>
      </w:tr>
      <w:tr w:rsidR="00EA0CE7" w:rsidRPr="00DB69AE" w14:paraId="5A7392A8" w14:textId="77777777" w:rsidTr="00AE08EF">
        <w:trPr>
          <w:trHeight w:val="411"/>
        </w:trPr>
        <w:tc>
          <w:tcPr>
            <w:tcW w:w="672" w:type="dxa"/>
          </w:tcPr>
          <w:p w14:paraId="5A223183" w14:textId="77777777" w:rsidR="00EA0CE7" w:rsidRPr="00DB69AE" w:rsidRDefault="00EA0CE7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11</w:t>
            </w:r>
          </w:p>
        </w:tc>
        <w:tc>
          <w:tcPr>
            <w:tcW w:w="9272" w:type="dxa"/>
          </w:tcPr>
          <w:p w14:paraId="6CD24A26" w14:textId="2CB19E51" w:rsidR="00EA0CE7" w:rsidRPr="00DB69AE" w:rsidRDefault="00EA0CE7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To be able to explain the differential diagnosis of hoarseness</w:t>
            </w:r>
            <w:r w:rsidR="00C204D0">
              <w:rPr>
                <w:rFonts w:ascii="Book Antiqua" w:hAnsi="Book Antiqua"/>
                <w:lang w:val="en-US"/>
              </w:rPr>
              <w:t>.</w:t>
            </w:r>
          </w:p>
        </w:tc>
      </w:tr>
      <w:tr w:rsidR="00EA0CE7" w:rsidRPr="00DB69AE" w14:paraId="2E9F75E2" w14:textId="77777777" w:rsidTr="00AE08EF">
        <w:trPr>
          <w:trHeight w:val="558"/>
        </w:trPr>
        <w:tc>
          <w:tcPr>
            <w:tcW w:w="672" w:type="dxa"/>
          </w:tcPr>
          <w:p w14:paraId="1ECE24CE" w14:textId="77777777" w:rsidR="00EA0CE7" w:rsidRPr="00DB69AE" w:rsidRDefault="00EA0CE7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12</w:t>
            </w:r>
          </w:p>
        </w:tc>
        <w:tc>
          <w:tcPr>
            <w:tcW w:w="9272" w:type="dxa"/>
          </w:tcPr>
          <w:p w14:paraId="6566AA48" w14:textId="35134CDD" w:rsidR="00EA0CE7" w:rsidRPr="00DB69AE" w:rsidRDefault="00EA0CE7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To be able to manage laryngopharyngeal reflux treatment</w:t>
            </w:r>
            <w:r w:rsidR="00C204D0">
              <w:rPr>
                <w:rFonts w:ascii="Book Antiqua" w:hAnsi="Book Antiqua"/>
                <w:lang w:val="en-US"/>
              </w:rPr>
              <w:t>.</w:t>
            </w:r>
          </w:p>
        </w:tc>
      </w:tr>
      <w:tr w:rsidR="00EA0CE7" w:rsidRPr="00DB69AE" w14:paraId="0758DC92" w14:textId="77777777" w:rsidTr="00AE08EF">
        <w:trPr>
          <w:trHeight w:val="424"/>
        </w:trPr>
        <w:tc>
          <w:tcPr>
            <w:tcW w:w="672" w:type="dxa"/>
          </w:tcPr>
          <w:p w14:paraId="367A1DE4" w14:textId="77777777" w:rsidR="00EA0CE7" w:rsidRPr="00DB69AE" w:rsidRDefault="00EA0CE7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13</w:t>
            </w:r>
          </w:p>
        </w:tc>
        <w:tc>
          <w:tcPr>
            <w:tcW w:w="9272" w:type="dxa"/>
          </w:tcPr>
          <w:p w14:paraId="05D995EA" w14:textId="4078800B" w:rsidR="00EA0CE7" w:rsidRPr="00DB69AE" w:rsidRDefault="00EA0CE7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To be able to suspect laryngeal cancer and to be able to refer to a specialist</w:t>
            </w:r>
            <w:r w:rsidR="00C204D0">
              <w:rPr>
                <w:rFonts w:ascii="Book Antiqua" w:hAnsi="Book Antiqua"/>
                <w:lang w:val="en-US"/>
              </w:rPr>
              <w:t>.</w:t>
            </w:r>
          </w:p>
        </w:tc>
      </w:tr>
      <w:tr w:rsidR="00B928BD" w:rsidRPr="00DB69AE" w14:paraId="5AED4F0B" w14:textId="77777777" w:rsidTr="00AE08EF">
        <w:trPr>
          <w:trHeight w:val="842"/>
        </w:trPr>
        <w:tc>
          <w:tcPr>
            <w:tcW w:w="672" w:type="dxa"/>
          </w:tcPr>
          <w:p w14:paraId="7712871B" w14:textId="77777777" w:rsidR="00B928BD" w:rsidRPr="00DB69AE" w:rsidRDefault="00B928BD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14</w:t>
            </w:r>
          </w:p>
        </w:tc>
        <w:tc>
          <w:tcPr>
            <w:tcW w:w="9272" w:type="dxa"/>
          </w:tcPr>
          <w:p w14:paraId="1CD60E3F" w14:textId="1442FFAE" w:rsidR="003E63AE" w:rsidRPr="00DB69AE" w:rsidRDefault="003E63AE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To be able to evaluate the patient presenting with a mass in the neck, to explain the possible causes and to refer the patient to a specialist when necessary.</w:t>
            </w:r>
          </w:p>
        </w:tc>
      </w:tr>
      <w:tr w:rsidR="00456CB9" w:rsidRPr="00DB69AE" w14:paraId="77557F61" w14:textId="77777777" w:rsidTr="00AE08EF">
        <w:trPr>
          <w:trHeight w:val="415"/>
        </w:trPr>
        <w:tc>
          <w:tcPr>
            <w:tcW w:w="672" w:type="dxa"/>
          </w:tcPr>
          <w:p w14:paraId="5CFE2FC3" w14:textId="77777777" w:rsidR="00456CB9" w:rsidRPr="00DB69AE" w:rsidRDefault="00456CB9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15</w:t>
            </w:r>
          </w:p>
        </w:tc>
        <w:tc>
          <w:tcPr>
            <w:tcW w:w="9272" w:type="dxa"/>
          </w:tcPr>
          <w:p w14:paraId="1E7B32B8" w14:textId="69D503F4" w:rsidR="00456CB9" w:rsidRPr="00DB69AE" w:rsidRDefault="00456CB9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To be able to evaluate maxillofacial traumas and to be able to refer them to specialists</w:t>
            </w:r>
            <w:r w:rsidR="00C204D0">
              <w:rPr>
                <w:rFonts w:ascii="Book Antiqua" w:hAnsi="Book Antiqua"/>
                <w:lang w:val="en-US"/>
              </w:rPr>
              <w:t>.</w:t>
            </w:r>
          </w:p>
        </w:tc>
      </w:tr>
      <w:tr w:rsidR="00456CB9" w:rsidRPr="00DB69AE" w14:paraId="6D1C55D3" w14:textId="77777777" w:rsidTr="00AE08EF">
        <w:trPr>
          <w:trHeight w:val="406"/>
        </w:trPr>
        <w:tc>
          <w:tcPr>
            <w:tcW w:w="672" w:type="dxa"/>
          </w:tcPr>
          <w:p w14:paraId="26049178" w14:textId="77777777" w:rsidR="00456CB9" w:rsidRPr="00DB69AE" w:rsidRDefault="00456CB9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16</w:t>
            </w:r>
          </w:p>
        </w:tc>
        <w:tc>
          <w:tcPr>
            <w:tcW w:w="9272" w:type="dxa"/>
          </w:tcPr>
          <w:p w14:paraId="184D6B5C" w14:textId="5367D030" w:rsidR="00456CB9" w:rsidRPr="00DB69AE" w:rsidRDefault="00456CB9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To be able to make a preliminary diagnosis of the patient who applied with the complaint of tinnitus.</w:t>
            </w:r>
          </w:p>
        </w:tc>
      </w:tr>
      <w:tr w:rsidR="00B928BD" w:rsidRPr="00DB69AE" w14:paraId="1AF6369E" w14:textId="77777777" w:rsidTr="00AE08EF">
        <w:trPr>
          <w:trHeight w:val="696"/>
        </w:trPr>
        <w:tc>
          <w:tcPr>
            <w:tcW w:w="672" w:type="dxa"/>
          </w:tcPr>
          <w:p w14:paraId="731582B3" w14:textId="77777777" w:rsidR="00B928BD" w:rsidRPr="00DB69AE" w:rsidRDefault="00B928BD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17</w:t>
            </w:r>
          </w:p>
        </w:tc>
        <w:tc>
          <w:tcPr>
            <w:tcW w:w="9272" w:type="dxa"/>
          </w:tcPr>
          <w:p w14:paraId="1B440165" w14:textId="364A599B" w:rsidR="00E6499D" w:rsidRPr="00DB69AE" w:rsidRDefault="00E6499D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 xml:space="preserve">To be able to make the differential diagnosis of patients presenting with dyspnea and stridor, to be able </w:t>
            </w:r>
            <w:r w:rsidR="001650A8" w:rsidRPr="00DB69AE">
              <w:rPr>
                <w:rFonts w:ascii="Book Antiqua" w:hAnsi="Book Antiqua"/>
                <w:lang w:val="en-US"/>
              </w:rPr>
              <w:t>to intervene</w:t>
            </w:r>
            <w:r w:rsidRPr="00DB69AE">
              <w:rPr>
                <w:rFonts w:ascii="Book Antiqua" w:hAnsi="Book Antiqua"/>
                <w:lang w:val="en-US"/>
              </w:rPr>
              <w:t xml:space="preserve"> in emergencies, to be able to refer them to a specialist when necessary.</w:t>
            </w:r>
          </w:p>
        </w:tc>
      </w:tr>
      <w:tr w:rsidR="00B928BD" w:rsidRPr="00DB69AE" w14:paraId="7D1D3CD7" w14:textId="77777777" w:rsidTr="00AE08EF">
        <w:trPr>
          <w:trHeight w:val="1148"/>
        </w:trPr>
        <w:tc>
          <w:tcPr>
            <w:tcW w:w="672" w:type="dxa"/>
          </w:tcPr>
          <w:p w14:paraId="729A0457" w14:textId="77777777" w:rsidR="00B928BD" w:rsidRPr="00DB69AE" w:rsidRDefault="00B928BD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18</w:t>
            </w:r>
          </w:p>
        </w:tc>
        <w:tc>
          <w:tcPr>
            <w:tcW w:w="9272" w:type="dxa"/>
          </w:tcPr>
          <w:p w14:paraId="19A57F9C" w14:textId="2C059F4D" w:rsidR="00142965" w:rsidRPr="00DB69AE" w:rsidRDefault="00142965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 xml:space="preserve">To be able to evaluate the patient with dizziness, </w:t>
            </w:r>
            <w:r w:rsidR="008F55D8" w:rsidRPr="00DB69AE">
              <w:rPr>
                <w:rFonts w:ascii="Book Antiqua" w:hAnsi="Book Antiqua"/>
                <w:lang w:val="en-US"/>
              </w:rPr>
              <w:t xml:space="preserve">to be able to </w:t>
            </w:r>
            <w:r w:rsidRPr="00DB69AE">
              <w:rPr>
                <w:rFonts w:ascii="Book Antiqua" w:hAnsi="Book Antiqua"/>
                <w:lang w:val="en-US"/>
              </w:rPr>
              <w:t xml:space="preserve">distinguish between peripheral and central vertigo, </w:t>
            </w:r>
            <w:r w:rsidR="008F55D8" w:rsidRPr="00DB69AE">
              <w:rPr>
                <w:rFonts w:ascii="Book Antiqua" w:hAnsi="Book Antiqua"/>
                <w:lang w:val="en-US"/>
              </w:rPr>
              <w:t xml:space="preserve">to be able to </w:t>
            </w:r>
            <w:r w:rsidRPr="00DB69AE">
              <w:rPr>
                <w:rFonts w:ascii="Book Antiqua" w:hAnsi="Book Antiqua"/>
                <w:lang w:val="en-US"/>
              </w:rPr>
              <w:t>recogniz</w:t>
            </w:r>
            <w:r w:rsidR="008F55D8" w:rsidRPr="00DB69AE">
              <w:rPr>
                <w:rFonts w:ascii="Book Antiqua" w:hAnsi="Book Antiqua"/>
                <w:lang w:val="en-US"/>
              </w:rPr>
              <w:t>e</w:t>
            </w:r>
            <w:r w:rsidRPr="00DB69AE">
              <w:rPr>
                <w:rFonts w:ascii="Book Antiqua" w:hAnsi="Book Antiqua"/>
                <w:lang w:val="en-US"/>
              </w:rPr>
              <w:t xml:space="preserve"> nystagmus, </w:t>
            </w:r>
            <w:r w:rsidR="008F55D8" w:rsidRPr="00DB69AE">
              <w:rPr>
                <w:rFonts w:ascii="Book Antiqua" w:hAnsi="Book Antiqua"/>
                <w:lang w:val="en-US"/>
              </w:rPr>
              <w:t xml:space="preserve">to be able to </w:t>
            </w:r>
            <w:r w:rsidRPr="00DB69AE">
              <w:rPr>
                <w:rFonts w:ascii="Book Antiqua" w:hAnsi="Book Antiqua"/>
                <w:lang w:val="en-US"/>
              </w:rPr>
              <w:t xml:space="preserve">perform Dix-Hallpike and Epley maneuvers, </w:t>
            </w:r>
            <w:r w:rsidR="008F55D8" w:rsidRPr="00DB69AE">
              <w:rPr>
                <w:rFonts w:ascii="Book Antiqua" w:hAnsi="Book Antiqua"/>
                <w:lang w:val="en-US"/>
              </w:rPr>
              <w:t xml:space="preserve">to be able to make </w:t>
            </w:r>
            <w:r w:rsidRPr="00DB69AE">
              <w:rPr>
                <w:rFonts w:ascii="Book Antiqua" w:hAnsi="Book Antiqua"/>
                <w:lang w:val="en-US"/>
              </w:rPr>
              <w:t xml:space="preserve">differential diagnosis of peripheral vertigo, </w:t>
            </w:r>
            <w:r w:rsidR="008F55D8" w:rsidRPr="00DB69AE">
              <w:rPr>
                <w:rFonts w:ascii="Book Antiqua" w:hAnsi="Book Antiqua"/>
                <w:lang w:val="en-US"/>
              </w:rPr>
              <w:t xml:space="preserve">to be able to </w:t>
            </w:r>
            <w:r w:rsidRPr="00DB69AE">
              <w:rPr>
                <w:rFonts w:ascii="Book Antiqua" w:hAnsi="Book Antiqua"/>
                <w:lang w:val="en-US"/>
              </w:rPr>
              <w:t>perform medical treatment in acute vertigo</w:t>
            </w:r>
            <w:r w:rsidR="00C204D0">
              <w:rPr>
                <w:rFonts w:ascii="Book Antiqua" w:hAnsi="Book Antiqua"/>
                <w:lang w:val="en-US"/>
              </w:rPr>
              <w:t>.</w:t>
            </w:r>
          </w:p>
        </w:tc>
      </w:tr>
      <w:tr w:rsidR="00B928BD" w:rsidRPr="00DB69AE" w14:paraId="51D48E7E" w14:textId="77777777" w:rsidTr="00AE08EF">
        <w:trPr>
          <w:trHeight w:val="813"/>
        </w:trPr>
        <w:tc>
          <w:tcPr>
            <w:tcW w:w="672" w:type="dxa"/>
          </w:tcPr>
          <w:p w14:paraId="65B3F4A5" w14:textId="77777777" w:rsidR="00B928BD" w:rsidRPr="00DB69AE" w:rsidRDefault="00B928BD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19</w:t>
            </w:r>
          </w:p>
        </w:tc>
        <w:tc>
          <w:tcPr>
            <w:tcW w:w="9272" w:type="dxa"/>
          </w:tcPr>
          <w:p w14:paraId="43BD578D" w14:textId="6DDF0A80" w:rsidR="00887CF2" w:rsidRPr="00DB69AE" w:rsidRDefault="00887CF2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 xml:space="preserve">To be able to distinguish between peripheral and central facial paralysis, </w:t>
            </w:r>
            <w:r w:rsidR="001650A8" w:rsidRPr="00DB69AE">
              <w:rPr>
                <w:rFonts w:ascii="Book Antiqua" w:hAnsi="Book Antiqua"/>
                <w:lang w:val="en-US"/>
              </w:rPr>
              <w:t>to be able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to </w:t>
            </w:r>
            <w:r w:rsidRPr="00DB69AE">
              <w:rPr>
                <w:rFonts w:ascii="Book Antiqua" w:hAnsi="Book Antiqua"/>
                <w:lang w:val="en-US"/>
              </w:rPr>
              <w:t>explain the differential diagnosis, to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be </w:t>
            </w:r>
            <w:r w:rsidR="001650A8" w:rsidRPr="00DB69AE">
              <w:rPr>
                <w:rFonts w:ascii="Book Antiqua" w:hAnsi="Book Antiqua"/>
                <w:lang w:val="en-US"/>
              </w:rPr>
              <w:t>a</w:t>
            </w:r>
            <w:r w:rsidR="00CC5FE1" w:rsidRPr="00DB69AE">
              <w:rPr>
                <w:rFonts w:ascii="Book Antiqua" w:hAnsi="Book Antiqua"/>
                <w:lang w:val="en-US"/>
              </w:rPr>
              <w:t>ble to</w:t>
            </w:r>
            <w:r w:rsidRPr="00DB69AE">
              <w:rPr>
                <w:rFonts w:ascii="Book Antiqua" w:hAnsi="Book Antiqua"/>
                <w:lang w:val="en-US"/>
              </w:rPr>
              <w:t xml:space="preserve"> distinguish between medical and surgical patients, and to be able to treat Bell's palsy medically.</w:t>
            </w:r>
          </w:p>
        </w:tc>
      </w:tr>
      <w:tr w:rsidR="00CC5FE1" w:rsidRPr="00DB69AE" w14:paraId="26A5056F" w14:textId="77777777" w:rsidTr="00AE08EF">
        <w:trPr>
          <w:trHeight w:val="557"/>
        </w:trPr>
        <w:tc>
          <w:tcPr>
            <w:tcW w:w="672" w:type="dxa"/>
          </w:tcPr>
          <w:p w14:paraId="626B628B" w14:textId="77777777" w:rsidR="00CC5FE1" w:rsidRPr="00DB69AE" w:rsidRDefault="00CC5FE1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20</w:t>
            </w:r>
          </w:p>
        </w:tc>
        <w:tc>
          <w:tcPr>
            <w:tcW w:w="9272" w:type="dxa"/>
          </w:tcPr>
          <w:p w14:paraId="4CB0687B" w14:textId="6EBD29E2" w:rsidR="00CC5FE1" w:rsidRPr="00DB69AE" w:rsidRDefault="00CC5FE1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To be able to recognize the symptoms of snoring and sleep apnea syndrome</w:t>
            </w:r>
            <w:r w:rsidR="00C204D0">
              <w:rPr>
                <w:rFonts w:ascii="Book Antiqua" w:hAnsi="Book Antiqua"/>
                <w:lang w:val="en-US"/>
              </w:rPr>
              <w:t>.</w:t>
            </w:r>
          </w:p>
        </w:tc>
      </w:tr>
      <w:tr w:rsidR="00CC5FE1" w:rsidRPr="00DB69AE" w14:paraId="0AA2E036" w14:textId="77777777" w:rsidTr="00AE08EF">
        <w:trPr>
          <w:trHeight w:val="409"/>
        </w:trPr>
        <w:tc>
          <w:tcPr>
            <w:tcW w:w="672" w:type="dxa"/>
          </w:tcPr>
          <w:p w14:paraId="23CE497E" w14:textId="77777777" w:rsidR="00CC5FE1" w:rsidRPr="00DB69AE" w:rsidRDefault="00CC5FE1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21</w:t>
            </w:r>
          </w:p>
        </w:tc>
        <w:tc>
          <w:tcPr>
            <w:tcW w:w="9272" w:type="dxa"/>
          </w:tcPr>
          <w:p w14:paraId="3BE63C44" w14:textId="69FCA5EE" w:rsidR="00CC5FE1" w:rsidRPr="00DB69AE" w:rsidRDefault="00CC5FE1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 xml:space="preserve">To be able to recognize and manage </w:t>
            </w:r>
            <w:r w:rsidR="001650A8" w:rsidRPr="00DB69AE">
              <w:rPr>
                <w:rFonts w:ascii="Book Antiqua" w:hAnsi="Book Antiqua"/>
                <w:lang w:val="en-US"/>
              </w:rPr>
              <w:t>otorhinolaryngology</w:t>
            </w:r>
            <w:r w:rsidRPr="00DB69AE">
              <w:rPr>
                <w:rFonts w:ascii="Book Antiqua" w:hAnsi="Book Antiqua"/>
                <w:lang w:val="en-US"/>
              </w:rPr>
              <w:t xml:space="preserve"> emergencies</w:t>
            </w:r>
            <w:r w:rsidR="00C204D0">
              <w:rPr>
                <w:rFonts w:ascii="Book Antiqua" w:hAnsi="Book Antiqua"/>
                <w:lang w:val="en-US"/>
              </w:rPr>
              <w:t>.</w:t>
            </w:r>
          </w:p>
        </w:tc>
      </w:tr>
    </w:tbl>
    <w:p w14:paraId="2580337D" w14:textId="77777777" w:rsidR="00B928BD" w:rsidRPr="00DB69AE" w:rsidRDefault="00B928BD" w:rsidP="00DB69AE">
      <w:pPr>
        <w:spacing w:line="360" w:lineRule="auto"/>
        <w:rPr>
          <w:rFonts w:ascii="Book Antiqua" w:hAnsi="Book Antiqua"/>
          <w:b/>
          <w:lang w:val="en-US"/>
        </w:rPr>
      </w:pPr>
    </w:p>
    <w:p w14:paraId="4243FAE8" w14:textId="77777777" w:rsidR="00B928BD" w:rsidRPr="00DB69AE" w:rsidRDefault="00B928BD" w:rsidP="00DB69AE">
      <w:pPr>
        <w:spacing w:line="360" w:lineRule="auto"/>
        <w:rPr>
          <w:rFonts w:ascii="Book Antiqua" w:hAnsi="Book Antiqua"/>
          <w:b/>
          <w:lang w:val="en-US"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272"/>
      </w:tblGrid>
      <w:tr w:rsidR="00B928BD" w:rsidRPr="00DB69AE" w14:paraId="4983E9C7" w14:textId="77777777" w:rsidTr="00AE08EF">
        <w:trPr>
          <w:trHeight w:val="450"/>
        </w:trPr>
        <w:tc>
          <w:tcPr>
            <w:tcW w:w="9944" w:type="dxa"/>
            <w:gridSpan w:val="2"/>
            <w:shd w:val="clear" w:color="auto" w:fill="93B3D5"/>
          </w:tcPr>
          <w:p w14:paraId="44FD6E79" w14:textId="24613C5B" w:rsidR="00B928BD" w:rsidRPr="00DB69AE" w:rsidRDefault="00F1794B" w:rsidP="00DB69AE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INTENDED LEARNING OUTCOME(S)</w:t>
            </w:r>
          </w:p>
        </w:tc>
      </w:tr>
      <w:tr w:rsidR="00CC5FE1" w:rsidRPr="00DB69AE" w14:paraId="54E6CEE3" w14:textId="77777777" w:rsidTr="00AE08EF">
        <w:trPr>
          <w:trHeight w:val="728"/>
        </w:trPr>
        <w:tc>
          <w:tcPr>
            <w:tcW w:w="672" w:type="dxa"/>
          </w:tcPr>
          <w:p w14:paraId="64AC5E9E" w14:textId="77777777" w:rsidR="00CC5FE1" w:rsidRPr="00DB69AE" w:rsidRDefault="00CC5FE1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1</w:t>
            </w:r>
          </w:p>
        </w:tc>
        <w:tc>
          <w:tcPr>
            <w:tcW w:w="9272" w:type="dxa"/>
          </w:tcPr>
          <w:p w14:paraId="43B6BFBF" w14:textId="04F2BAB1" w:rsidR="00CC5FE1" w:rsidRPr="00DB69AE" w:rsidRDefault="003524F7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diagnose otitis media types, </w:t>
            </w: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decide on treatment, </w:t>
            </w:r>
            <w:r w:rsidR="001650A8" w:rsidRPr="00DB69AE">
              <w:rPr>
                <w:rFonts w:ascii="Book Antiqua" w:hAnsi="Book Antiqua"/>
                <w:lang w:val="en-US"/>
              </w:rPr>
              <w:t>Can recognize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otitis media complications and </w:t>
            </w: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refer to a specialist when necessary.</w:t>
            </w:r>
          </w:p>
        </w:tc>
      </w:tr>
      <w:tr w:rsidR="00CC5FE1" w:rsidRPr="00DB69AE" w14:paraId="4B7B14A4" w14:textId="77777777" w:rsidTr="0005519C">
        <w:trPr>
          <w:trHeight w:val="416"/>
        </w:trPr>
        <w:tc>
          <w:tcPr>
            <w:tcW w:w="672" w:type="dxa"/>
          </w:tcPr>
          <w:p w14:paraId="359BC5C3" w14:textId="77777777" w:rsidR="00CC5FE1" w:rsidRPr="00DB69AE" w:rsidRDefault="00CC5FE1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2</w:t>
            </w:r>
          </w:p>
        </w:tc>
        <w:tc>
          <w:tcPr>
            <w:tcW w:w="9272" w:type="dxa"/>
          </w:tcPr>
          <w:p w14:paraId="33FEA7E0" w14:textId="54C75170" w:rsidR="00CC5FE1" w:rsidRPr="00DB69AE" w:rsidRDefault="003524F7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diagnose acute upper respiratory tract infections (rhinosinusitis, acute otitis, tonsillitis, epiglottitis, etc.), </w:t>
            </w: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give the treatment (prescribing), </w:t>
            </w: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recognize the complications (deep neck infections –retropharyngeal / peritonsillar abscess) and to be to refer to the specialist when necessary</w:t>
            </w:r>
            <w:r w:rsidR="009F4697" w:rsidRPr="00DB69AE">
              <w:rPr>
                <w:rFonts w:ascii="Book Antiqua" w:hAnsi="Book Antiqua"/>
                <w:lang w:val="en-US"/>
              </w:rPr>
              <w:t>.</w:t>
            </w:r>
          </w:p>
        </w:tc>
      </w:tr>
      <w:tr w:rsidR="00CC5FE1" w:rsidRPr="00DB69AE" w14:paraId="17020E6B" w14:textId="77777777" w:rsidTr="00357C7A">
        <w:trPr>
          <w:trHeight w:val="416"/>
        </w:trPr>
        <w:tc>
          <w:tcPr>
            <w:tcW w:w="672" w:type="dxa"/>
          </w:tcPr>
          <w:p w14:paraId="4BD3B05E" w14:textId="77777777" w:rsidR="00CC5FE1" w:rsidRPr="00DB69AE" w:rsidRDefault="00CC5FE1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3</w:t>
            </w:r>
          </w:p>
        </w:tc>
        <w:tc>
          <w:tcPr>
            <w:tcW w:w="9272" w:type="dxa"/>
          </w:tcPr>
          <w:p w14:paraId="1321E95B" w14:textId="3329DCD3" w:rsidR="00CC5FE1" w:rsidRPr="00DB69AE" w:rsidRDefault="003524F7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evaluate situations causing nasal obstruction (nasal obstruction) / discharge, </w:t>
            </w: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distinguish primary (allergic, infective, mechanical) and secondary (</w:t>
            </w:r>
            <w:proofErr w:type="spellStart"/>
            <w:r w:rsidR="00CC5FE1" w:rsidRPr="00DB69AE">
              <w:rPr>
                <w:rFonts w:ascii="Book Antiqua" w:hAnsi="Book Antiqua"/>
                <w:lang w:val="en-US"/>
              </w:rPr>
              <w:t>adrenoid</w:t>
            </w:r>
            <w:proofErr w:type="spellEnd"/>
            <w:r w:rsidR="00CC5FE1" w:rsidRPr="00DB69AE">
              <w:rPr>
                <w:rFonts w:ascii="Book Antiqua" w:hAnsi="Book Antiqua"/>
                <w:lang w:val="en-US"/>
              </w:rPr>
              <w:t xml:space="preserve">) causes in differential diagnosis, </w:t>
            </w: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explain medical and surgical treatment options according to </w:t>
            </w:r>
            <w:r w:rsidR="00CC5FE1" w:rsidRPr="00DB69AE">
              <w:rPr>
                <w:rFonts w:ascii="Book Antiqua" w:hAnsi="Book Antiqua"/>
                <w:lang w:val="en-US"/>
              </w:rPr>
              <w:lastRenderedPageBreak/>
              <w:t>etiology.</w:t>
            </w:r>
          </w:p>
        </w:tc>
      </w:tr>
      <w:tr w:rsidR="00CC5FE1" w:rsidRPr="00DB69AE" w14:paraId="52C4205F" w14:textId="77777777" w:rsidTr="00AE08EF">
        <w:trPr>
          <w:trHeight w:val="554"/>
        </w:trPr>
        <w:tc>
          <w:tcPr>
            <w:tcW w:w="672" w:type="dxa"/>
          </w:tcPr>
          <w:p w14:paraId="44EFE7DA" w14:textId="77777777" w:rsidR="00CC5FE1" w:rsidRPr="00DB69AE" w:rsidRDefault="00CC5FE1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lastRenderedPageBreak/>
              <w:t>4</w:t>
            </w:r>
          </w:p>
        </w:tc>
        <w:tc>
          <w:tcPr>
            <w:tcW w:w="9272" w:type="dxa"/>
          </w:tcPr>
          <w:p w14:paraId="429E6CE3" w14:textId="0013EC60" w:rsidR="00CC5FE1" w:rsidRPr="00DB69AE" w:rsidRDefault="003524F7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count the etiology of hearing loss, </w:t>
            </w: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make differential diagnosis of related diseases and </w:t>
            </w: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direct them to a specialist by making emergency intervention when necessary.</w:t>
            </w:r>
          </w:p>
        </w:tc>
      </w:tr>
      <w:tr w:rsidR="00CC5FE1" w:rsidRPr="00DB69AE" w14:paraId="09FE0F8D" w14:textId="77777777" w:rsidTr="00AE08EF">
        <w:trPr>
          <w:trHeight w:val="420"/>
        </w:trPr>
        <w:tc>
          <w:tcPr>
            <w:tcW w:w="672" w:type="dxa"/>
          </w:tcPr>
          <w:p w14:paraId="491AC988" w14:textId="77777777" w:rsidR="00CC5FE1" w:rsidRPr="00DB69AE" w:rsidRDefault="00CC5FE1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5</w:t>
            </w:r>
          </w:p>
        </w:tc>
        <w:tc>
          <w:tcPr>
            <w:tcW w:w="9272" w:type="dxa"/>
          </w:tcPr>
          <w:p w14:paraId="23B24B43" w14:textId="52455172" w:rsidR="00CC5FE1" w:rsidRPr="00DB69AE" w:rsidRDefault="003524F7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explain the etiological factors of nose bleeding and </w:t>
            </w: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make the differential diagnosis.</w:t>
            </w:r>
          </w:p>
        </w:tc>
      </w:tr>
      <w:tr w:rsidR="00CC5FE1" w:rsidRPr="00DB69AE" w14:paraId="5A6FC673" w14:textId="77777777" w:rsidTr="00AE08EF">
        <w:trPr>
          <w:trHeight w:val="482"/>
        </w:trPr>
        <w:tc>
          <w:tcPr>
            <w:tcW w:w="672" w:type="dxa"/>
          </w:tcPr>
          <w:p w14:paraId="72A74F43" w14:textId="77777777" w:rsidR="00CC5FE1" w:rsidRPr="00DB69AE" w:rsidRDefault="00CC5FE1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6</w:t>
            </w:r>
          </w:p>
        </w:tc>
        <w:tc>
          <w:tcPr>
            <w:tcW w:w="9272" w:type="dxa"/>
          </w:tcPr>
          <w:p w14:paraId="1798C2A4" w14:textId="7D8C23E7" w:rsidR="00CC5FE1" w:rsidRPr="00DB69AE" w:rsidRDefault="003524F7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put front nose bumper</w:t>
            </w:r>
            <w:r w:rsidR="009F4697" w:rsidRPr="00DB69AE">
              <w:rPr>
                <w:rFonts w:ascii="Book Antiqua" w:hAnsi="Book Antiqua"/>
                <w:lang w:val="en-US"/>
              </w:rPr>
              <w:t>.</w:t>
            </w:r>
          </w:p>
        </w:tc>
      </w:tr>
      <w:tr w:rsidR="00CC5FE1" w:rsidRPr="00DB69AE" w14:paraId="1D2F7F7A" w14:textId="77777777" w:rsidTr="00AE08EF">
        <w:trPr>
          <w:trHeight w:val="551"/>
        </w:trPr>
        <w:tc>
          <w:tcPr>
            <w:tcW w:w="672" w:type="dxa"/>
          </w:tcPr>
          <w:p w14:paraId="0D1CFE73" w14:textId="77777777" w:rsidR="00CC5FE1" w:rsidRPr="00DB69AE" w:rsidRDefault="00CC5FE1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7</w:t>
            </w:r>
          </w:p>
        </w:tc>
        <w:tc>
          <w:tcPr>
            <w:tcW w:w="9272" w:type="dxa"/>
          </w:tcPr>
          <w:p w14:paraId="2C5A3EFF" w14:textId="34E95E20" w:rsidR="00CC5FE1" w:rsidRPr="00DB69AE" w:rsidRDefault="003524F7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make the differential diagnosis of ear pain, </w:t>
            </w: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count the causes of referred pain, </w:t>
            </w: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explain the approach to / diagnose the patient presenting with the symptom of ear pain, </w:t>
            </w: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make the treatment and </w:t>
            </w: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refer the patient to the specialist physician after the emergency intervention when necessary.</w:t>
            </w:r>
          </w:p>
        </w:tc>
      </w:tr>
      <w:tr w:rsidR="00CC5FE1" w:rsidRPr="00DB69AE" w14:paraId="5FB44DBB" w14:textId="77777777" w:rsidTr="00AE08EF">
        <w:trPr>
          <w:trHeight w:val="693"/>
        </w:trPr>
        <w:tc>
          <w:tcPr>
            <w:tcW w:w="672" w:type="dxa"/>
          </w:tcPr>
          <w:p w14:paraId="423A1FB2" w14:textId="77777777" w:rsidR="00CC5FE1" w:rsidRPr="00DB69AE" w:rsidRDefault="00CC5FE1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8</w:t>
            </w:r>
          </w:p>
        </w:tc>
        <w:tc>
          <w:tcPr>
            <w:tcW w:w="9272" w:type="dxa"/>
          </w:tcPr>
          <w:p w14:paraId="4ADEC83B" w14:textId="539200B7" w:rsidR="00CC5FE1" w:rsidRPr="00DB69AE" w:rsidRDefault="003524F7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make the differential diagnosis of the patient who applied with the complaint of sore throat, </w:t>
            </w:r>
            <w:r w:rsidR="001650A8"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make the treatment when necessary, and </w:t>
            </w: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 refer the patient to the specialist when necessary</w:t>
            </w:r>
            <w:r w:rsidR="009F4697" w:rsidRPr="00DB69AE">
              <w:rPr>
                <w:rFonts w:ascii="Book Antiqua" w:hAnsi="Book Antiqua"/>
                <w:lang w:val="en-US"/>
              </w:rPr>
              <w:t>.</w:t>
            </w:r>
          </w:p>
        </w:tc>
      </w:tr>
      <w:tr w:rsidR="00CC5FE1" w:rsidRPr="00DB69AE" w14:paraId="7B3B6ABD" w14:textId="77777777" w:rsidTr="00AE08EF">
        <w:trPr>
          <w:trHeight w:val="845"/>
        </w:trPr>
        <w:tc>
          <w:tcPr>
            <w:tcW w:w="672" w:type="dxa"/>
          </w:tcPr>
          <w:p w14:paraId="2316F805" w14:textId="77777777" w:rsidR="00CC5FE1" w:rsidRPr="00DB69AE" w:rsidRDefault="00CC5FE1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9</w:t>
            </w:r>
          </w:p>
        </w:tc>
        <w:tc>
          <w:tcPr>
            <w:tcW w:w="9272" w:type="dxa"/>
          </w:tcPr>
          <w:p w14:paraId="43359FAC" w14:textId="59123870" w:rsidR="00CC5FE1" w:rsidRPr="00DB69AE" w:rsidRDefault="003524F7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evaluate of the patient presenting with upper respiratory tract obstruction and related breathing difficulties</w:t>
            </w:r>
            <w:r w:rsidR="00CC5FE1" w:rsidRPr="00DB69AE">
              <w:rPr>
                <w:rFonts w:ascii="Times New Roman" w:hAnsi="Times New Roman" w:cs="Times New Roman"/>
                <w:lang w:val="en-US"/>
              </w:rPr>
              <w:t>̈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in emergency and elective conditions.</w:t>
            </w:r>
          </w:p>
        </w:tc>
      </w:tr>
      <w:tr w:rsidR="00CC5FE1" w:rsidRPr="00DB69AE" w14:paraId="2BDDE82B" w14:textId="77777777" w:rsidTr="00AE08EF">
        <w:trPr>
          <w:trHeight w:val="404"/>
        </w:trPr>
        <w:tc>
          <w:tcPr>
            <w:tcW w:w="672" w:type="dxa"/>
          </w:tcPr>
          <w:p w14:paraId="317ACC06" w14:textId="77777777" w:rsidR="00CC5FE1" w:rsidRPr="00DB69AE" w:rsidRDefault="00CC5FE1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10</w:t>
            </w:r>
          </w:p>
        </w:tc>
        <w:tc>
          <w:tcPr>
            <w:tcW w:w="9272" w:type="dxa"/>
          </w:tcPr>
          <w:p w14:paraId="4EF1C34B" w14:textId="33CCEB48" w:rsidR="00CC5FE1" w:rsidRPr="00DB69AE" w:rsidRDefault="003524F7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explain tracheotomy and its indications</w:t>
            </w:r>
            <w:r w:rsidR="009F4697" w:rsidRPr="00DB69AE">
              <w:rPr>
                <w:rFonts w:ascii="Book Antiqua" w:hAnsi="Book Antiqua"/>
                <w:lang w:val="en-US"/>
              </w:rPr>
              <w:t>.</w:t>
            </w:r>
          </w:p>
        </w:tc>
      </w:tr>
      <w:tr w:rsidR="00CC5FE1" w:rsidRPr="00DB69AE" w14:paraId="53195229" w14:textId="77777777" w:rsidTr="00AE08EF">
        <w:trPr>
          <w:trHeight w:val="411"/>
        </w:trPr>
        <w:tc>
          <w:tcPr>
            <w:tcW w:w="672" w:type="dxa"/>
          </w:tcPr>
          <w:p w14:paraId="7B207DE1" w14:textId="77777777" w:rsidR="00CC5FE1" w:rsidRPr="00DB69AE" w:rsidRDefault="00CC5FE1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11</w:t>
            </w:r>
          </w:p>
        </w:tc>
        <w:tc>
          <w:tcPr>
            <w:tcW w:w="9272" w:type="dxa"/>
          </w:tcPr>
          <w:p w14:paraId="288A0CC9" w14:textId="576AF821" w:rsidR="00CC5FE1" w:rsidRPr="00DB69AE" w:rsidRDefault="003524F7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explain the differential diagnosis of hoarseness</w:t>
            </w:r>
            <w:r w:rsidR="009F4697" w:rsidRPr="00DB69AE">
              <w:rPr>
                <w:rFonts w:ascii="Book Antiqua" w:hAnsi="Book Antiqua"/>
                <w:lang w:val="en-US"/>
              </w:rPr>
              <w:t>.</w:t>
            </w:r>
          </w:p>
        </w:tc>
      </w:tr>
      <w:tr w:rsidR="00CC5FE1" w:rsidRPr="00DB69AE" w14:paraId="0A907C9A" w14:textId="77777777" w:rsidTr="00AE08EF">
        <w:trPr>
          <w:trHeight w:val="558"/>
        </w:trPr>
        <w:tc>
          <w:tcPr>
            <w:tcW w:w="672" w:type="dxa"/>
          </w:tcPr>
          <w:p w14:paraId="0D71D241" w14:textId="77777777" w:rsidR="00CC5FE1" w:rsidRPr="00DB69AE" w:rsidRDefault="00CC5FE1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12</w:t>
            </w:r>
          </w:p>
        </w:tc>
        <w:tc>
          <w:tcPr>
            <w:tcW w:w="9272" w:type="dxa"/>
          </w:tcPr>
          <w:p w14:paraId="629BB58B" w14:textId="3DBDF510" w:rsidR="00CC5FE1" w:rsidRPr="00DB69AE" w:rsidRDefault="003524F7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manage laryngopharyngeal reflux treatment</w:t>
            </w:r>
            <w:r w:rsidR="009F4697" w:rsidRPr="00DB69AE">
              <w:rPr>
                <w:rFonts w:ascii="Book Antiqua" w:hAnsi="Book Antiqua"/>
                <w:lang w:val="en-US"/>
              </w:rPr>
              <w:t>.</w:t>
            </w:r>
          </w:p>
        </w:tc>
      </w:tr>
      <w:tr w:rsidR="00CC5FE1" w:rsidRPr="00DB69AE" w14:paraId="75A00C2B" w14:textId="77777777" w:rsidTr="00AE08EF">
        <w:trPr>
          <w:trHeight w:val="424"/>
        </w:trPr>
        <w:tc>
          <w:tcPr>
            <w:tcW w:w="672" w:type="dxa"/>
          </w:tcPr>
          <w:p w14:paraId="6408D105" w14:textId="77777777" w:rsidR="00CC5FE1" w:rsidRPr="00DB69AE" w:rsidRDefault="00CC5FE1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13</w:t>
            </w:r>
          </w:p>
        </w:tc>
        <w:tc>
          <w:tcPr>
            <w:tcW w:w="9272" w:type="dxa"/>
          </w:tcPr>
          <w:p w14:paraId="4147AC0B" w14:textId="3B6F2FF1" w:rsidR="00CC5FE1" w:rsidRPr="00DB69AE" w:rsidRDefault="003524F7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suspect laryngeal cancer and </w:t>
            </w: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refer to a specialist</w:t>
            </w:r>
            <w:r w:rsidR="009F4697" w:rsidRPr="00DB69AE">
              <w:rPr>
                <w:rFonts w:ascii="Book Antiqua" w:hAnsi="Book Antiqua"/>
                <w:lang w:val="en-US"/>
              </w:rPr>
              <w:t>.</w:t>
            </w:r>
          </w:p>
        </w:tc>
      </w:tr>
      <w:tr w:rsidR="00CC5FE1" w:rsidRPr="00DB69AE" w14:paraId="076AA2FD" w14:textId="77777777" w:rsidTr="00AE08EF">
        <w:trPr>
          <w:trHeight w:val="842"/>
        </w:trPr>
        <w:tc>
          <w:tcPr>
            <w:tcW w:w="672" w:type="dxa"/>
          </w:tcPr>
          <w:p w14:paraId="17FFB639" w14:textId="77777777" w:rsidR="00CC5FE1" w:rsidRPr="00DB69AE" w:rsidRDefault="00CC5FE1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14</w:t>
            </w:r>
          </w:p>
        </w:tc>
        <w:tc>
          <w:tcPr>
            <w:tcW w:w="9272" w:type="dxa"/>
          </w:tcPr>
          <w:p w14:paraId="47FE7210" w14:textId="42429CFF" w:rsidR="00CC5FE1" w:rsidRPr="00DB69AE" w:rsidRDefault="003524F7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evaluate the patient presenting with a mass in the neck, to explain the possible causes and to refer the patient to a specialist when necessary.</w:t>
            </w:r>
          </w:p>
        </w:tc>
      </w:tr>
      <w:tr w:rsidR="00CC5FE1" w:rsidRPr="00DB69AE" w14:paraId="52EA21D1" w14:textId="77777777" w:rsidTr="00AE08EF">
        <w:trPr>
          <w:trHeight w:val="415"/>
        </w:trPr>
        <w:tc>
          <w:tcPr>
            <w:tcW w:w="672" w:type="dxa"/>
          </w:tcPr>
          <w:p w14:paraId="20FB68DA" w14:textId="77777777" w:rsidR="00CC5FE1" w:rsidRPr="00DB69AE" w:rsidRDefault="00CC5FE1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15</w:t>
            </w:r>
          </w:p>
        </w:tc>
        <w:tc>
          <w:tcPr>
            <w:tcW w:w="9272" w:type="dxa"/>
          </w:tcPr>
          <w:p w14:paraId="67F23BB9" w14:textId="338F152E" w:rsidR="00CC5FE1" w:rsidRPr="00DB69AE" w:rsidRDefault="003524F7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evaluate maxillofacial traumas and </w:t>
            </w: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refer them to specialists</w:t>
            </w:r>
            <w:r w:rsidR="009F4697" w:rsidRPr="00DB69AE">
              <w:rPr>
                <w:rFonts w:ascii="Book Antiqua" w:hAnsi="Book Antiqua"/>
                <w:lang w:val="en-US"/>
              </w:rPr>
              <w:t>.</w:t>
            </w:r>
          </w:p>
        </w:tc>
      </w:tr>
      <w:tr w:rsidR="00CC5FE1" w:rsidRPr="00DB69AE" w14:paraId="7CA17BE1" w14:textId="77777777" w:rsidTr="00AE08EF">
        <w:trPr>
          <w:trHeight w:val="406"/>
        </w:trPr>
        <w:tc>
          <w:tcPr>
            <w:tcW w:w="672" w:type="dxa"/>
          </w:tcPr>
          <w:p w14:paraId="7B202132" w14:textId="77777777" w:rsidR="00CC5FE1" w:rsidRPr="00DB69AE" w:rsidRDefault="00CC5FE1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16</w:t>
            </w:r>
          </w:p>
        </w:tc>
        <w:tc>
          <w:tcPr>
            <w:tcW w:w="9272" w:type="dxa"/>
          </w:tcPr>
          <w:p w14:paraId="1AA665F1" w14:textId="2B9BD2E4" w:rsidR="00CC5FE1" w:rsidRPr="00DB69AE" w:rsidRDefault="003524F7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make a preliminary diagnosis of the patient who applied with the complaint of tinnitus.</w:t>
            </w:r>
          </w:p>
        </w:tc>
      </w:tr>
      <w:tr w:rsidR="00CC5FE1" w:rsidRPr="00DB69AE" w14:paraId="643D8D1C" w14:textId="77777777" w:rsidTr="00AE08EF">
        <w:trPr>
          <w:trHeight w:val="696"/>
        </w:trPr>
        <w:tc>
          <w:tcPr>
            <w:tcW w:w="672" w:type="dxa"/>
          </w:tcPr>
          <w:p w14:paraId="5A1A62D1" w14:textId="77777777" w:rsidR="00CC5FE1" w:rsidRPr="00DB69AE" w:rsidRDefault="00CC5FE1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17</w:t>
            </w:r>
          </w:p>
        </w:tc>
        <w:tc>
          <w:tcPr>
            <w:tcW w:w="9272" w:type="dxa"/>
          </w:tcPr>
          <w:p w14:paraId="414DE456" w14:textId="27973C33" w:rsidR="00CC5FE1" w:rsidRPr="00DB69AE" w:rsidRDefault="003524F7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make the differential diagnosis of patients presenting with dyspnea and stridor, </w:t>
            </w:r>
            <w:r w:rsidR="00127520" w:rsidRPr="00DB69AE">
              <w:rPr>
                <w:rFonts w:ascii="Book Antiqua" w:hAnsi="Book Antiqua"/>
                <w:lang w:val="en-US"/>
              </w:rPr>
              <w:t>Can intervene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in emergencies, </w:t>
            </w: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refer them to a specialist when necessary.</w:t>
            </w:r>
          </w:p>
        </w:tc>
      </w:tr>
      <w:tr w:rsidR="00CC5FE1" w:rsidRPr="00DB69AE" w14:paraId="463BDE43" w14:textId="77777777" w:rsidTr="00AE08EF">
        <w:trPr>
          <w:trHeight w:val="1148"/>
        </w:trPr>
        <w:tc>
          <w:tcPr>
            <w:tcW w:w="672" w:type="dxa"/>
          </w:tcPr>
          <w:p w14:paraId="285B4B28" w14:textId="77777777" w:rsidR="00CC5FE1" w:rsidRPr="00DB69AE" w:rsidRDefault="00CC5FE1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18</w:t>
            </w:r>
          </w:p>
        </w:tc>
        <w:tc>
          <w:tcPr>
            <w:tcW w:w="9272" w:type="dxa"/>
          </w:tcPr>
          <w:p w14:paraId="515F0B28" w14:textId="132C5D61" w:rsidR="00CC5FE1" w:rsidRPr="00DB69AE" w:rsidRDefault="003524F7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evaluate the patient with dizziness, </w:t>
            </w: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distinguish between peripheral and central vertigo, </w:t>
            </w: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recognize nystagmus, </w:t>
            </w: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perform Dix-Hallpike and Epley maneuvers, </w:t>
            </w: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make differential diagnosis of peripheral vertigo, </w:t>
            </w: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perform medical treatment in acute vertigo</w:t>
            </w:r>
            <w:r w:rsidR="009F4697" w:rsidRPr="00DB69AE">
              <w:rPr>
                <w:rFonts w:ascii="Book Antiqua" w:hAnsi="Book Antiqua"/>
                <w:lang w:val="en-US"/>
              </w:rPr>
              <w:t>.</w:t>
            </w:r>
          </w:p>
        </w:tc>
      </w:tr>
      <w:tr w:rsidR="00CC5FE1" w:rsidRPr="00DB69AE" w14:paraId="1C547B1D" w14:textId="77777777" w:rsidTr="00AE08EF">
        <w:trPr>
          <w:trHeight w:val="813"/>
        </w:trPr>
        <w:tc>
          <w:tcPr>
            <w:tcW w:w="672" w:type="dxa"/>
          </w:tcPr>
          <w:p w14:paraId="01CA9D4A" w14:textId="77777777" w:rsidR="00CC5FE1" w:rsidRPr="00DB69AE" w:rsidRDefault="00CC5FE1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19</w:t>
            </w:r>
          </w:p>
        </w:tc>
        <w:tc>
          <w:tcPr>
            <w:tcW w:w="9272" w:type="dxa"/>
          </w:tcPr>
          <w:p w14:paraId="5500D767" w14:textId="05CA2735" w:rsidR="00CC5FE1" w:rsidRPr="00DB69AE" w:rsidRDefault="003524F7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distinguish between peripheral and central facial paralysis, to </w:t>
            </w:r>
            <w:r w:rsidR="00357C7A">
              <w:rPr>
                <w:rFonts w:ascii="Book Antiqua" w:hAnsi="Book Antiqua"/>
                <w:lang w:val="en-US"/>
              </w:rPr>
              <w:t xml:space="preserve"> be 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able to explain the differential diagnosis, </w:t>
            </w:r>
            <w:r w:rsidR="00127520"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distinguish between medical and surgical patients, and </w:t>
            </w: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treat Bell's palsy medically.</w:t>
            </w:r>
          </w:p>
        </w:tc>
      </w:tr>
      <w:tr w:rsidR="00CC5FE1" w:rsidRPr="00DB69AE" w14:paraId="38E94B3E" w14:textId="77777777" w:rsidTr="00AE08EF">
        <w:trPr>
          <w:trHeight w:val="557"/>
        </w:trPr>
        <w:tc>
          <w:tcPr>
            <w:tcW w:w="672" w:type="dxa"/>
          </w:tcPr>
          <w:p w14:paraId="7003D934" w14:textId="77777777" w:rsidR="00CC5FE1" w:rsidRPr="00DB69AE" w:rsidRDefault="00CC5FE1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20</w:t>
            </w:r>
          </w:p>
        </w:tc>
        <w:tc>
          <w:tcPr>
            <w:tcW w:w="9272" w:type="dxa"/>
          </w:tcPr>
          <w:p w14:paraId="5EB09FA4" w14:textId="280719A6" w:rsidR="00CC5FE1" w:rsidRPr="00DB69AE" w:rsidRDefault="003524F7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recognize the symptoms of snoring and sleep apnea syndrome</w:t>
            </w:r>
            <w:r w:rsidR="009F4697" w:rsidRPr="00DB69AE">
              <w:rPr>
                <w:rFonts w:ascii="Book Antiqua" w:hAnsi="Book Antiqua"/>
                <w:lang w:val="en-US"/>
              </w:rPr>
              <w:t>.</w:t>
            </w:r>
          </w:p>
        </w:tc>
      </w:tr>
      <w:tr w:rsidR="00CC5FE1" w:rsidRPr="00DB69AE" w14:paraId="2977EE48" w14:textId="77777777" w:rsidTr="00AE08EF">
        <w:trPr>
          <w:trHeight w:val="409"/>
        </w:trPr>
        <w:tc>
          <w:tcPr>
            <w:tcW w:w="672" w:type="dxa"/>
          </w:tcPr>
          <w:p w14:paraId="68F85C3E" w14:textId="77777777" w:rsidR="00CC5FE1" w:rsidRPr="00DB69AE" w:rsidRDefault="00CC5FE1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21</w:t>
            </w:r>
          </w:p>
        </w:tc>
        <w:tc>
          <w:tcPr>
            <w:tcW w:w="9272" w:type="dxa"/>
          </w:tcPr>
          <w:p w14:paraId="1AF7A4BF" w14:textId="204B3096" w:rsidR="00CC5FE1" w:rsidRPr="00DB69AE" w:rsidRDefault="003524F7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recognize and manage </w:t>
            </w:r>
            <w:r w:rsidR="00127520" w:rsidRPr="00DB69AE">
              <w:rPr>
                <w:rFonts w:ascii="Book Antiqua" w:hAnsi="Book Antiqua"/>
                <w:lang w:val="en-US"/>
              </w:rPr>
              <w:t>otorhinolaryngology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emergencies</w:t>
            </w:r>
            <w:r w:rsidR="009F4697" w:rsidRPr="00DB69AE">
              <w:rPr>
                <w:rFonts w:ascii="Book Antiqua" w:hAnsi="Book Antiqua"/>
                <w:lang w:val="en-US"/>
              </w:rPr>
              <w:t>.</w:t>
            </w:r>
          </w:p>
        </w:tc>
      </w:tr>
    </w:tbl>
    <w:p w14:paraId="7524B58F" w14:textId="77777777" w:rsidR="00B928BD" w:rsidRPr="00DB69AE" w:rsidRDefault="00B928BD" w:rsidP="00DB69AE">
      <w:pPr>
        <w:spacing w:line="360" w:lineRule="auto"/>
        <w:rPr>
          <w:rFonts w:ascii="Book Antiqua" w:hAnsi="Book Antiqua"/>
          <w:b/>
          <w:lang w:val="en-US"/>
        </w:rPr>
      </w:pPr>
    </w:p>
    <w:sectPr w:rsidR="00B928BD" w:rsidRPr="00DB69AE" w:rsidSect="0048407E">
      <w:pgSz w:w="11920" w:h="16840"/>
      <w:pgMar w:top="16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FAC"/>
    <w:rsid w:val="000455B8"/>
    <w:rsid w:val="0005519C"/>
    <w:rsid w:val="000652D7"/>
    <w:rsid w:val="00127520"/>
    <w:rsid w:val="00142965"/>
    <w:rsid w:val="001624B3"/>
    <w:rsid w:val="001650A8"/>
    <w:rsid w:val="0017713A"/>
    <w:rsid w:val="001B623B"/>
    <w:rsid w:val="001C20DF"/>
    <w:rsid w:val="002911D1"/>
    <w:rsid w:val="0029326B"/>
    <w:rsid w:val="002B6039"/>
    <w:rsid w:val="0030240E"/>
    <w:rsid w:val="003252E0"/>
    <w:rsid w:val="003524F7"/>
    <w:rsid w:val="00357C7A"/>
    <w:rsid w:val="003C270B"/>
    <w:rsid w:val="003E63AE"/>
    <w:rsid w:val="00432824"/>
    <w:rsid w:val="00456CB9"/>
    <w:rsid w:val="0048407E"/>
    <w:rsid w:val="0057358D"/>
    <w:rsid w:val="005D1C58"/>
    <w:rsid w:val="006142B4"/>
    <w:rsid w:val="00792E80"/>
    <w:rsid w:val="007F0FF5"/>
    <w:rsid w:val="008063C1"/>
    <w:rsid w:val="008470EB"/>
    <w:rsid w:val="008569BD"/>
    <w:rsid w:val="00887CF2"/>
    <w:rsid w:val="008F55D8"/>
    <w:rsid w:val="009021AA"/>
    <w:rsid w:val="00984FAC"/>
    <w:rsid w:val="009A5D26"/>
    <w:rsid w:val="009C56AF"/>
    <w:rsid w:val="009F4697"/>
    <w:rsid w:val="00B211CF"/>
    <w:rsid w:val="00B300AF"/>
    <w:rsid w:val="00B417AD"/>
    <w:rsid w:val="00B928BD"/>
    <w:rsid w:val="00C0563B"/>
    <w:rsid w:val="00C204D0"/>
    <w:rsid w:val="00C602BE"/>
    <w:rsid w:val="00C8760F"/>
    <w:rsid w:val="00CC5FE1"/>
    <w:rsid w:val="00D36304"/>
    <w:rsid w:val="00D9731D"/>
    <w:rsid w:val="00DB69AE"/>
    <w:rsid w:val="00DD60EA"/>
    <w:rsid w:val="00E478D2"/>
    <w:rsid w:val="00E6499D"/>
    <w:rsid w:val="00E9466C"/>
    <w:rsid w:val="00EA0CE7"/>
    <w:rsid w:val="00EC17E7"/>
    <w:rsid w:val="00EC1C96"/>
    <w:rsid w:val="00EC4310"/>
    <w:rsid w:val="00EF747F"/>
    <w:rsid w:val="00F1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B8C637"/>
  <w15:docId w15:val="{DD4667AA-13CF-4006-9A20-100FB2AA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1041</Words>
  <Characters>5935</Characters>
  <Application>Microsoft Office Word</Application>
  <DocSecurity>0</DocSecurity>
  <Lines>49</Lines>
  <Paragraphs>13</Paragraphs>
  <ScaleCrop>false</ScaleCrop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59</cp:revision>
  <dcterms:created xsi:type="dcterms:W3CDTF">2022-08-23T06:00:00Z</dcterms:created>
  <dcterms:modified xsi:type="dcterms:W3CDTF">2022-08-23T21:05:00Z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2022-08-23T00:00:00Z</vt:filetime>
  </property>
</Properties>
</file>